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b/>
          <w:bCs/>
          <w:color w:val="800000"/>
          <w:kern w:val="0"/>
          <w:sz w:val="28"/>
          <w:szCs w:val="36"/>
        </w:rPr>
        <w:t>內政業務財團法人監督準則</w:t>
      </w:r>
    </w:p>
    <w:p w:rsidR="004A3B50" w:rsidRPr="004A3B50" w:rsidRDefault="004A3B50" w:rsidP="004A3B50">
      <w:pPr>
        <w:widowControl/>
        <w:spacing w:after="100" w:afterAutospacing="1" w:line="240" w:lineRule="atLeast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11"/>
          <w:szCs w:val="15"/>
        </w:rPr>
        <w:t>行政院六十九年十二月十五日台</w:t>
      </w:r>
      <w:r w:rsidRPr="004A3B50">
        <w:rPr>
          <w:rFonts w:ascii="Times New Roman" w:eastAsia="新細明體" w:hAnsi="Times New Roman" w:cs="Times New Roman"/>
          <w:color w:val="000000"/>
          <w:kern w:val="0"/>
          <w:sz w:val="11"/>
          <w:szCs w:val="15"/>
        </w:rPr>
        <w:t>(69)</w:t>
      </w:r>
      <w:r w:rsidRPr="004A3B50">
        <w:rPr>
          <w:rFonts w:ascii="新細明體" w:eastAsia="新細明體" w:hAnsi="新細明體" w:cs="Times New Roman"/>
          <w:color w:val="000000"/>
          <w:kern w:val="0"/>
          <w:sz w:val="11"/>
          <w:szCs w:val="15"/>
        </w:rPr>
        <w:t>內字第一四四五七號函核定</w:t>
      </w:r>
      <w:r w:rsidRPr="004A3B50">
        <w:rPr>
          <w:rFonts w:ascii="新細明體" w:eastAsia="新細明體" w:hAnsi="新細明體" w:cs="Times New Roman"/>
          <w:color w:val="000000"/>
          <w:kern w:val="0"/>
          <w:sz w:val="11"/>
          <w:szCs w:val="15"/>
        </w:rPr>
        <w:br/>
        <w:t>內政部六十九年十二月三十日台(69)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1"/>
          <w:szCs w:val="15"/>
        </w:rPr>
        <w:t>內法字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1"/>
          <w:szCs w:val="15"/>
        </w:rPr>
        <w:t>第六三三二九號令發布</w:t>
      </w:r>
      <w:r w:rsidRPr="004A3B50">
        <w:rPr>
          <w:rFonts w:ascii="新細明體" w:eastAsia="新細明體" w:hAnsi="新細明體" w:cs="Times New Roman"/>
          <w:color w:val="000000"/>
          <w:kern w:val="0"/>
          <w:sz w:val="11"/>
          <w:szCs w:val="15"/>
        </w:rPr>
        <w:br/>
        <w:t>內政部七十四年五月六日台(74)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1"/>
          <w:szCs w:val="15"/>
        </w:rPr>
        <w:t>內法字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1"/>
          <w:szCs w:val="15"/>
        </w:rPr>
        <w:t>第三○二九六三號令修正發布</w:t>
      </w:r>
      <w:r w:rsidRPr="004A3B50">
        <w:rPr>
          <w:rFonts w:ascii="新細明體" w:eastAsia="新細明體" w:hAnsi="新細明體" w:cs="Times New Roman"/>
          <w:color w:val="000000"/>
          <w:kern w:val="0"/>
          <w:sz w:val="11"/>
          <w:szCs w:val="15"/>
        </w:rPr>
        <w:br/>
        <w:t>內政部八十一年十二月三十日台(81)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1"/>
          <w:szCs w:val="15"/>
        </w:rPr>
        <w:t>內法字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1"/>
          <w:szCs w:val="15"/>
        </w:rPr>
        <w:t>第八一九一七九一號令修正發布</w:t>
      </w:r>
      <w:r w:rsidRPr="004A3B50">
        <w:rPr>
          <w:rFonts w:ascii="新細明體" w:eastAsia="新細明體" w:hAnsi="新細明體" w:cs="Times New Roman"/>
          <w:color w:val="000000"/>
          <w:kern w:val="0"/>
          <w:sz w:val="11"/>
          <w:szCs w:val="15"/>
        </w:rPr>
        <w:br/>
        <w:t>內政部八十四年十一月廿九日台(84)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1"/>
          <w:szCs w:val="15"/>
        </w:rPr>
        <w:t>內法字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1"/>
          <w:szCs w:val="15"/>
        </w:rPr>
        <w:t>第八四八八八四七號令修正發布</w:t>
      </w:r>
    </w:p>
    <w:p w:rsidR="004A3B50" w:rsidRPr="004A3B50" w:rsidRDefault="004A3B50" w:rsidP="004A3B50">
      <w:pPr>
        <w:widowControl/>
        <w:spacing w:after="100" w:afterAutospacing="1" w:line="240" w:lineRule="atLeast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內政部八十八年十一月十日台(88)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內法字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第八八八五七七三號令修正發布</w:t>
      </w:r>
    </w:p>
    <w:p w:rsidR="004A3B50" w:rsidRPr="004A3B50" w:rsidRDefault="004A3B50" w:rsidP="004A3B50">
      <w:pPr>
        <w:widowControl/>
        <w:rPr>
          <w:rFonts w:ascii="新細明體" w:eastAsia="新細明體" w:hAnsi="新細明體" w:cs="新細明體"/>
          <w:kern w:val="0"/>
          <w:sz w:val="20"/>
          <w:szCs w:val="24"/>
        </w:rPr>
      </w:pPr>
      <w:r w:rsidRPr="004A3B50">
        <w:rPr>
          <w:rFonts w:ascii="新細明體" w:eastAsia="新細明體" w:hAnsi="新細明體" w:cs="新細明體"/>
          <w:kern w:val="0"/>
          <w:sz w:val="20"/>
          <w:szCs w:val="24"/>
        </w:rPr>
        <w:pict>
          <v:rect id="_x0000_i1025" style="width:0;height:1.5pt" o:hralign="center" o:hrstd="t" o:hrnoshade="t" o:hr="t" fillcolor="black" stroked="f"/>
        </w:pic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第一條、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內政部為依民法及其他法律規定監督內政業務財團法人</w:t>
      </w:r>
      <w:r w:rsidRPr="004A3B50">
        <w:rPr>
          <w:rFonts w:ascii="Times New Roman" w:eastAsia="新細明體" w:hAnsi="Times New Roman" w:cs="Times New Roman"/>
          <w:color w:val="000000"/>
          <w:kern w:val="0"/>
          <w:sz w:val="16"/>
          <w:szCs w:val="20"/>
        </w:rPr>
        <w:t>(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以下簡稱財團法人</w:t>
      </w:r>
      <w:r w:rsidRPr="004A3B50">
        <w:rPr>
          <w:rFonts w:ascii="Times New Roman" w:eastAsia="新細明體" w:hAnsi="Times New Roman" w:cs="Times New Roman"/>
          <w:color w:val="000000"/>
          <w:kern w:val="0"/>
          <w:sz w:val="16"/>
          <w:szCs w:val="20"/>
        </w:rPr>
        <w:t>)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，特訂定本準則。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第二條、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本準則所稱財團法人，係指民政、戶政、役政、社會、地政、性侵害防治、家庭暴力防治、營建、警政、消防業務及其他有關內政業務之財團法人。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第三條、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財團法人之主管機關，在中央為內政部，在省（市）為省(市)政府業務有關之廳、處、局，在縣(市)為縣(市)政府。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第四條、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財團法人之業務範圍，跨越兩縣（市）以上者，由省主管機關主管，跨越省、市者，由內政部主管，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但法別有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規定者，從其規定。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第五條、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財團法人，應以所捐助財產及其收入、孳息辦理公益事務為目的。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第六條、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財團法人，應在其特定名稱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之上冠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以「財團法人」名義。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第七條、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設市財團法人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，應先依據捐助章程設置董事，再由董事向主管機關申請許可後，依法向該管法院聲請登記。以遺囑捐助設立者，前項申請許可由遺囑執行人為之。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第八條、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財團法人之設立，其財產總額須達於足以達成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其設市目的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為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準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。前項財產總額之最低數額由主管機關另定之。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第九條、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財團法人之捐助章程，應記載左列事項：</w:t>
      </w:r>
    </w:p>
    <w:p w:rsidR="004A3B50" w:rsidRPr="004A3B50" w:rsidRDefault="004A3B50" w:rsidP="004A3B50">
      <w:pPr>
        <w:widowControl/>
        <w:spacing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一</w:t>
      </w: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目的、名稱、組織、主事務所及分事務所。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二、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捐助財產之種類、數額、保管運用方法及其不動產處分或設定負擔之程序。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三、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業務項目及其管理方法。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lastRenderedPageBreak/>
        <w:t>四、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董事名額、產生方式、任期、任期屆滿之改選（聘）及任期屆滿董事長不辦理改選（聘）之處理方式。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五、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設有監察人者，其名額、任期及產生方式。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六、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董事會之職權。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七、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解散後賸餘財產之歸屬。</w:t>
      </w:r>
    </w:p>
    <w:p w:rsidR="004A3B50" w:rsidRPr="004A3B50" w:rsidRDefault="004A3B50" w:rsidP="004A3B50">
      <w:pPr>
        <w:widowControl/>
        <w:spacing w:before="100" w:beforeAutospacing="1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八、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定有存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立時期者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，其時期。</w:t>
      </w:r>
    </w:p>
    <w:p w:rsidR="004A3B50" w:rsidRPr="004A3B50" w:rsidRDefault="004A3B50" w:rsidP="004A3B50">
      <w:pPr>
        <w:widowControl/>
        <w:spacing w:beforeAutospacing="1" w:afterAutospacing="1"/>
        <w:rPr>
          <w:rFonts w:ascii="新細明體" w:eastAsia="新細明體" w:hAnsi="新細明體" w:cs="新細明體"/>
          <w:color w:val="000000"/>
          <w:kern w:val="0"/>
          <w:sz w:val="16"/>
          <w:szCs w:val="20"/>
        </w:rPr>
      </w:pPr>
      <w:r w:rsidRPr="004A3B50">
        <w:rPr>
          <w:rFonts w:ascii="新細明體" w:eastAsia="新細明體" w:hAnsi="新細明體" w:cs="新細明體"/>
          <w:color w:val="000000"/>
          <w:kern w:val="0"/>
          <w:sz w:val="16"/>
          <w:szCs w:val="20"/>
        </w:rPr>
        <w:t>遺囑捐助設立之財團法人，關於前項之應記載事項，依遺囑之記載，如遺囑無明確記載時，由遺囑執行人依前項規定之。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第十條、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財團法人董事之名額，不得少於五人，除宗教財團法人不得超過三十一人外，均不得超過十五人，並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須均為單數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第十一條、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申請財團法設立許可，除法令另有規定外，應向主管機關提出左列文件一式四份：</w:t>
      </w:r>
    </w:p>
    <w:p w:rsidR="004A3B50" w:rsidRPr="004A3B50" w:rsidRDefault="004A3B50" w:rsidP="004A3B50">
      <w:pPr>
        <w:widowControl/>
        <w:spacing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一、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申請書。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二、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捐助章程或遺囑影本。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三、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捐助財產清冊及其證明文件。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四、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董事名冊及與分證影本。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五、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法人及董事之印鑑。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六、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董事會會議紀錄。</w:t>
      </w:r>
    </w:p>
    <w:p w:rsidR="004A3B50" w:rsidRPr="004A3B50" w:rsidRDefault="004A3B50" w:rsidP="004A3B50">
      <w:pPr>
        <w:widowControl/>
        <w:spacing w:before="100" w:beforeAutospacing="1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七、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業務計畫書。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第十二條、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前條主管機關收受設立財團法人之申請後，應即進行審查，其應補正或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不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應許可者，應即通知申請人；應予許可者，發給許可文書，並將申請書及其附件加蓋印信，以二份發還申請人。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第十三條、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應自變受設立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許可文書之日起三十日內向該管法院聲請登記；並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於變受完成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登記通知之日起三十日內將登記證書影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本送該管主機關審驗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。財團法人於完成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法發記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後，捐助人、繼承人或遺囑執行人應於三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個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月內將全部財產移歸法人，並由該管主管機關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併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同其業務設施進度予以查核。財團法人未於前二項規定期限內辦理者，主管機關得撤銷其許可。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第十四條、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財團法人董事執行職務應遵守法令及捐助章程、遺囑規定。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lastRenderedPageBreak/>
        <w:t>第十五條、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財團法人之會計制度，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採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權責發生制，應設置帳簿，詳細紀錄有關會計事項，並於使用前應經稅捐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稽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?機關驗印。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第十六條、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財團法人應於年度開始前三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個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月，檢具年度預算書及業務計畫書；於年度終了後三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個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月內，檢具年度決算及業務執行書，報請主管機關核備。主管機關為瞭解財團法人之狀況，得隨時通知其提出業務及財務報告，並得派員查核之外。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第十七條、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主管機關對財團法人之財產，得斟酌其設立之目的指導作適當之運用。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第十八條、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財團法人解散後，其賸餘財產之歸屬應依其捐助章程或遺囑之規定，但不得歸屬任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仃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自然人或營利團體。捐助章程或遺囑未規定者，其賸餘財產應歸屬其事務所所在地之地方自治團體。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第十九條、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財團法人有左列情形之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一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者，主管機關應予糾正並知限期改善。</w:t>
      </w:r>
    </w:p>
    <w:p w:rsidR="004A3B50" w:rsidRPr="004A3B50" w:rsidRDefault="004A3B50" w:rsidP="004A3B50">
      <w:pPr>
        <w:widowControl/>
        <w:spacing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一、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違反法令、捐助章程或遺囑者。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二、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經營方針與設立目的不符者。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三、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董事會之決議顯屬不當者。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四、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財務變支未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取具合法之憑證或未有完備之會計記錄者。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五、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匿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財產或妨礙主管機關檢查、稽核者。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六、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對於業務、財務為不實之陳報者。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七、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收費率開支過高者。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八、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經費開支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浮濫者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九、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財產總額已無法達成目的事業者。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十、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其他違反本準則之情事者。</w:t>
      </w:r>
    </w:p>
    <w:p w:rsidR="004A3B50" w:rsidRPr="004A3B50" w:rsidRDefault="004A3B50" w:rsidP="004A3B50">
      <w:pPr>
        <w:widowControl/>
        <w:spacing w:before="100" w:beforeAutospacing="1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財團法人於收到主管機關改善通知後，如未於期限內改善者，主管機關得撤銷其許可。</w:t>
      </w:r>
    </w:p>
    <w:p w:rsidR="004A3B50" w:rsidRPr="004A3B50" w:rsidRDefault="004A3B50" w:rsidP="004A3B50">
      <w:pPr>
        <w:widowControl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 w:val="22"/>
          <w:szCs w:val="27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第二十條</w:t>
      </w: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財團法人登記後，其許可設立事項如有變更者，應於</w:t>
      </w:r>
      <w:r w:rsidRPr="004A3B50">
        <w:rPr>
          <w:rFonts w:ascii="Times New Roman" w:eastAsia="新細明體" w:hAnsi="Times New Roman" w:cs="Times New Roman"/>
          <w:color w:val="000000"/>
          <w:kern w:val="0"/>
          <w:sz w:val="16"/>
          <w:szCs w:val="20"/>
        </w:rPr>
        <w:t>?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更項發生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後，三十日內報請主管機關許可變更，並於許可後三十日內向該管法院為變更登記，於取得換發之法人登記證書後十日內，將該登記證書影</w:t>
      </w:r>
      <w:proofErr w:type="gramStart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本交請</w:t>
      </w:r>
      <w:proofErr w:type="gramEnd"/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主管機關備查。</w:t>
      </w:r>
    </w:p>
    <w:p w:rsidR="00432B89" w:rsidRPr="004A3B50" w:rsidRDefault="004A3B50" w:rsidP="004A3B50">
      <w:pPr>
        <w:widowControl/>
        <w:spacing w:before="100" w:beforeAutospacing="1" w:after="100" w:afterAutospacing="1"/>
        <w:rPr>
          <w:sz w:val="20"/>
        </w:rPr>
      </w:pP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第二十一條</w:t>
      </w:r>
      <w:r w:rsidRPr="004A3B50">
        <w:rPr>
          <w:rFonts w:ascii="新細明體" w:eastAsia="新細明體" w:hAnsi="新細明體" w:cs="Times New Roman"/>
          <w:color w:val="000000"/>
          <w:kern w:val="0"/>
          <w:sz w:val="20"/>
          <w:szCs w:val="24"/>
        </w:rPr>
        <w:t>、</w:t>
      </w:r>
      <w:r w:rsidRPr="004A3B50">
        <w:rPr>
          <w:rFonts w:ascii="新細明體" w:eastAsia="新細明體" w:hAnsi="新細明體" w:cs="Times New Roman"/>
          <w:color w:val="000000"/>
          <w:kern w:val="0"/>
          <w:sz w:val="16"/>
          <w:szCs w:val="20"/>
        </w:rPr>
        <w:t>本準則自發布日施行。</w:t>
      </w:r>
      <w:bookmarkStart w:id="0" w:name="_GoBack"/>
      <w:bookmarkEnd w:id="0"/>
    </w:p>
    <w:sectPr w:rsidR="00432B89" w:rsidRPr="004A3B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50"/>
    <w:rsid w:val="00432B89"/>
    <w:rsid w:val="004A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3A0736-ED55-46E3-B65A-A777074F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A3B5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4A3B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8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9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90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2016-03-16T08:14:00Z</dcterms:created>
  <dcterms:modified xsi:type="dcterms:W3CDTF">2016-03-16T08:14:00Z</dcterms:modified>
</cp:coreProperties>
</file>